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0" w:after="0"/>
        <w:jc w:val="start"/>
        <w:rPr/>
      </w:pPr>
      <w:r>
        <w:rPr>
          <w:b/>
        </w:rPr>
        <w:t>Nazwa:</w:t>
      </w:r>
      <w:r>
        <w:rPr/>
        <w:br/>
        <w:t>Entero Acidolac</w:t>
      </w:r>
      <w:r>
        <w:rPr>
          <w:position w:val="6"/>
          <w:sz w:val="16"/>
        </w:rPr>
        <w:t>®</w:t>
      </w:r>
      <w:r>
        <w:rPr/>
        <w:t xml:space="preserve"> </w:t>
        <w:br/>
        <w:t>suplement diety</w:t>
        <w:br/>
        <w:br/>
      </w:r>
      <w:r>
        <w:rPr>
          <w:b/>
        </w:rPr>
        <w:t>Postać:</w:t>
      </w:r>
      <w:r>
        <w:rPr/>
        <w:br/>
        <w:t>kapsułki</w:t>
        <w:br/>
        <w:br/>
      </w:r>
      <w:r>
        <w:rPr>
          <w:b/>
        </w:rPr>
        <w:t>Przekaz marketingowy:</w:t>
      </w:r>
      <w:r>
        <w:rPr/>
        <w:br/>
        <w:br/>
        <w:br/>
      </w:r>
      <w:r>
        <w:rPr>
          <w:b/>
        </w:rPr>
        <w:t>Opis produktu / przeznaczenie:</w:t>
      </w:r>
      <w:r>
        <w:rPr/>
        <w:br/>
        <w:t>Entero Acidolac</w:t>
      </w:r>
      <w:r>
        <w:rPr>
          <w:position w:val="6"/>
          <w:sz w:val="16"/>
        </w:rPr>
        <w:t>®</w:t>
      </w:r>
      <w:r>
        <w:rPr/>
        <w:t xml:space="preserve"> suplement diety jest produktem, zawierającym liofilizowane kultury drożdżowe szczepu </w:t>
      </w:r>
      <w:r>
        <w:rPr>
          <w:i/>
        </w:rPr>
        <w:t>Saccharomyces boulardii</w:t>
      </w:r>
      <w:r>
        <w:rPr/>
        <w:t xml:space="preserve"> oraz fruktooligosacharydy (FOS).</w:t>
        <w:br/>
        <w:t>Entero Acidolac</w:t>
      </w:r>
      <w:r>
        <w:rPr>
          <w:position w:val="6"/>
          <w:sz w:val="16"/>
        </w:rPr>
        <w:t>®</w:t>
      </w:r>
      <w:r>
        <w:rPr/>
        <w:t xml:space="preserve"> można stosować w celu uzupełniania mikrobioty jelit w czasie trwania antybiotykoterapii i/lub biegunki infekcyjnej, w podróży ze zmianą strefy klimatycznej.</w:t>
        <w:br/>
      </w:r>
      <w:r>
        <w:rPr>
          <w:i/>
        </w:rPr>
        <w:t>Saccharomyces boulardii,</w:t>
      </w:r>
      <w:r>
        <w:rPr/>
        <w:t xml:space="preserve"> zawarte w produkcie Entero Acidolac®, to dobrze przebadane kultury drożdżowe stosowane u dzieci i dorosłych.</w:t>
        <w:br/>
        <w:t>Produkt zawiera liofilizowane kultury drożdży, które dzięki zastosowanej technologii DRcaps</w:t>
      </w:r>
      <w:r>
        <w:rPr>
          <w:position w:val="6"/>
          <w:sz w:val="16"/>
        </w:rPr>
        <w:t>TM</w:t>
      </w:r>
      <w:r>
        <w:rPr/>
        <w:t xml:space="preserve"> są zabezpieczone przed działaniem niszczącym kwasów i enzymów trawiennych w żołądku. Kapsułki DRcaps</w:t>
      </w:r>
      <w:r>
        <w:rPr>
          <w:position w:val="6"/>
          <w:sz w:val="16"/>
        </w:rPr>
        <w:t>TM</w:t>
      </w:r>
      <w:r>
        <w:rPr/>
        <w:t xml:space="preserve"> zapewniają bezpieczne dotarcie drożdży do jelit.</w:t>
        <w:br/>
        <w:t xml:space="preserve">Produkt bezglutenowy. </w:t>
        <w:br/>
        <w:t xml:space="preserve">Produkt jest przeznaczony dla dzieci powyżej 3. roku życia i dorosłych. </w:t>
        <w:br/>
        <w:br/>
      </w:r>
      <w:r>
        <w:rPr>
          <w:b/>
        </w:rPr>
        <w:t>Składniki:</w:t>
      </w:r>
      <w:r>
        <w:rPr/>
        <w:br/>
      </w:r>
      <w:r>
        <w:rPr>
          <w:b/>
        </w:rPr>
        <w:t>Składniki:</w:t>
      </w:r>
      <w:r>
        <w:rPr/>
        <w:t xml:space="preserve"> liofilizowane kultury drożdży szczepu </w:t>
      </w:r>
      <w:r>
        <w:rPr>
          <w:i/>
        </w:rPr>
        <w:t>Saccharomyces boulardii,</w:t>
      </w:r>
      <w:r>
        <w:rPr/>
        <w:t xml:space="preserve"> fruktooligosacharydy (FOS), substancja wypełniająca hydroksypropylometyloceluloza, substancja żelująca guma gellan, barwnik dwutlenek tytanu, substancja przeciwzbrylająca mono- i diglicerydy kwasów tłuszczowych.</w:t>
      </w:r>
    </w:p>
    <w:tbl>
      <w:tblPr>
        <w:tblW w:w="7805" w:type="dxa"/>
        <w:jc w:val="start"/>
        <w:tblInd w:w="0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376"/>
        <w:gridCol w:w="2177"/>
        <w:gridCol w:w="2252"/>
      </w:tblGrid>
      <w:tr>
        <w:trPr/>
        <w:tc>
          <w:tcPr>
            <w:tcW w:w="3376" w:type="dxa"/>
            <w:tcBorders>
              <w:top w:val="single" w:sz="6" w:space="0" w:color="808080"/>
              <w:start w:val="single" w:sz="6" w:space="0" w:color="808080"/>
              <w:bottom w:val="single" w:sz="2" w:space="0" w:color="808080"/>
              <w:end w:val="single" w:sz="6" w:space="0" w:color="80808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 xml:space="preserve">Składniki </w:t>
            </w:r>
          </w:p>
        </w:tc>
        <w:tc>
          <w:tcPr>
            <w:tcW w:w="2177" w:type="dxa"/>
            <w:tcBorders>
              <w:top w:val="single" w:sz="6" w:space="0" w:color="808080"/>
              <w:start w:val="single" w:sz="2" w:space="0" w:color="808080"/>
              <w:bottom w:val="single" w:sz="2" w:space="0" w:color="808080"/>
              <w:end w:val="single" w:sz="6" w:space="0" w:color="80808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 xml:space="preserve">1 kapsułka </w:t>
            </w:r>
          </w:p>
        </w:tc>
        <w:tc>
          <w:tcPr>
            <w:tcW w:w="2252" w:type="dxa"/>
            <w:tcBorders>
              <w:top w:val="single" w:sz="6" w:space="0" w:color="808080"/>
              <w:start w:val="single" w:sz="2" w:space="0" w:color="808080"/>
              <w:bottom w:val="single" w:sz="2" w:space="0" w:color="808080"/>
              <w:end w:val="single" w:sz="6" w:space="0" w:color="80808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br/>
              <w:t xml:space="preserve">2 kapsułki </w:t>
            </w:r>
          </w:p>
        </w:tc>
      </w:tr>
      <w:tr>
        <w:trPr/>
        <w:tc>
          <w:tcPr>
            <w:tcW w:w="3376" w:type="dxa"/>
            <w:tcBorders>
              <w:start w:val="single" w:sz="6" w:space="0" w:color="808080"/>
              <w:bottom w:val="single" w:sz="2" w:space="0" w:color="808080"/>
              <w:end w:val="single" w:sz="6" w:space="0" w:color="80808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br/>
              <w:t>liofilizowane kultury drożdżowe</w:t>
              <w:br/>
              <w:br/>
              <w:t xml:space="preserve">  szczepu </w:t>
            </w:r>
            <w:r>
              <w:rPr>
                <w:i/>
              </w:rPr>
              <w:t xml:space="preserve">Saccharomyces boulardii   </w:t>
            </w:r>
          </w:p>
        </w:tc>
        <w:tc>
          <w:tcPr>
            <w:tcW w:w="2177" w:type="dxa"/>
            <w:tcBorders>
              <w:start w:val="single" w:sz="2" w:space="0" w:color="808080"/>
              <w:bottom w:val="single" w:sz="2" w:space="0" w:color="808080"/>
              <w:end w:val="single" w:sz="6" w:space="0" w:color="80808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  </w:t>
            </w:r>
            <w:r>
              <w:rPr/>
              <w:t>1 mld (1 x 10</w:t>
            </w:r>
            <w:r>
              <w:rPr>
                <w:position w:val="6"/>
                <w:sz w:val="16"/>
              </w:rPr>
              <w:t>9</w:t>
            </w:r>
            <w:r>
              <w:rPr/>
              <w:t xml:space="preserve"> CFU</w:t>
            </w:r>
            <w:r>
              <w:rPr>
                <w:position w:val="6"/>
                <w:sz w:val="16"/>
              </w:rPr>
              <w:t>*</w:t>
            </w:r>
            <w:r>
              <w:rPr/>
              <w:t xml:space="preserve">)   </w:t>
            </w:r>
          </w:p>
        </w:tc>
        <w:tc>
          <w:tcPr>
            <w:tcW w:w="2252" w:type="dxa"/>
            <w:tcBorders>
              <w:start w:val="single" w:sz="2" w:space="0" w:color="808080"/>
              <w:bottom w:val="single" w:sz="2" w:space="0" w:color="808080"/>
              <w:end w:val="single" w:sz="6" w:space="0" w:color="80808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  </w:t>
            </w:r>
            <w:r>
              <w:rPr/>
              <w:t>2 mld ( 2 x 10</w:t>
            </w:r>
            <w:r>
              <w:rPr>
                <w:position w:val="6"/>
                <w:sz w:val="16"/>
              </w:rPr>
              <w:t>9</w:t>
            </w:r>
            <w:r>
              <w:rPr/>
              <w:t xml:space="preserve"> CFU</w:t>
            </w:r>
            <w:r>
              <w:rPr>
                <w:position w:val="6"/>
                <w:sz w:val="16"/>
              </w:rPr>
              <w:t>*</w:t>
            </w:r>
            <w:r>
              <w:rPr/>
              <w:t xml:space="preserve">)   </w:t>
            </w:r>
          </w:p>
        </w:tc>
      </w:tr>
      <w:tr>
        <w:trPr/>
        <w:tc>
          <w:tcPr>
            <w:tcW w:w="3376" w:type="dxa"/>
            <w:tcBorders>
              <w:start w:val="single" w:sz="6" w:space="0" w:color="808080"/>
              <w:bottom w:val="single" w:sz="6" w:space="0" w:color="808080"/>
              <w:end w:val="single" w:sz="6" w:space="0" w:color="80808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Fruktooligosacharydy (FOS) </w:t>
            </w:r>
          </w:p>
        </w:tc>
        <w:tc>
          <w:tcPr>
            <w:tcW w:w="2177" w:type="dxa"/>
            <w:tcBorders>
              <w:start w:val="single" w:sz="2" w:space="0" w:color="808080"/>
              <w:bottom w:val="single" w:sz="6" w:space="0" w:color="808080"/>
              <w:end w:val="single" w:sz="6" w:space="0" w:color="80808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t xml:space="preserve">193,10 mg </w:t>
            </w:r>
          </w:p>
        </w:tc>
        <w:tc>
          <w:tcPr>
            <w:tcW w:w="2252" w:type="dxa"/>
            <w:tcBorders>
              <w:start w:val="single" w:sz="2" w:space="0" w:color="808080"/>
              <w:bottom w:val="single" w:sz="6" w:space="0" w:color="808080"/>
              <w:end w:val="single" w:sz="6" w:space="0" w:color="80808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/>
              <w:br/>
              <w:t xml:space="preserve">386,20 mg </w:t>
            </w:r>
          </w:p>
        </w:tc>
      </w:tr>
    </w:tbl>
    <w:p>
      <w:pPr>
        <w:pStyle w:val="TextBody"/>
        <w:bidi w:val="0"/>
        <w:spacing w:before="0" w:after="283"/>
        <w:jc w:val="start"/>
        <w:rPr/>
      </w:pPr>
      <w:r>
        <w:rPr/>
        <w:br/>
      </w:r>
      <w:r>
        <w:rPr>
          <w:position w:val="6"/>
          <w:sz w:val="16"/>
        </w:rPr>
        <w:t>*</w:t>
      </w:r>
      <w:r>
        <w:rPr/>
        <w:t xml:space="preserve"> CFU – Colony Forming Unit - jednostka tworząca kolonię bakterii </w:t>
        <w:br/>
        <w:br/>
        <w:br/>
      </w:r>
      <w:r>
        <w:rPr>
          <w:b/>
        </w:rPr>
        <w:t>Zalecane dzienne spożycie:</w:t>
      </w:r>
      <w:r>
        <w:rPr/>
        <w:br/>
        <w:t xml:space="preserve">Dzieci powyżej 3. roku życia i dorośli: 1-2 kapsułki dziennie. </w:t>
        <w:br/>
        <w:t>Kapsułkę należy połykać popijając wodą. Nie popijać zbyt gorącymi lub mrożonymi płynami.</w:t>
        <w:br/>
        <w:t xml:space="preserve">Można spożywać w trakcie i po antybiotykoterapii w celu uzupełniania mikrobioty jelit. </w:t>
        <w:br/>
        <w:br/>
      </w:r>
      <w:r>
        <w:rPr>
          <w:b/>
        </w:rPr>
        <w:t>Dodatkowe informacje:</w:t>
      </w:r>
      <w:r>
        <w:rPr/>
        <w:br/>
        <w:t>Produkt nie zawiera białka mleka krowiego i glutenu i może być podawany osobom, które nie tolerują tych składników.</w:t>
        <w:br/>
        <w:t xml:space="preserve">Nie należy przekraczać zalecanej porcji do spożycia w ciągu dnia. </w:t>
        <w:br/>
        <w:t>Suplement diety nie może być stosowany jako substytut zróżnicowanej diety.</w:t>
        <w:br/>
        <w:t>Zrównoważona i zróżnicowana dieta oraz zdrowy styl życia są podstawą zapewnienia prawidłowego funkcjonowania organizmu.</w:t>
        <w:br/>
        <w:t xml:space="preserve">Nie stosować u osób uczulonych na którykolwiek ze składników produktu. </w:t>
        <w:br/>
        <w:br/>
      </w:r>
      <w:r>
        <w:rPr>
          <w:b/>
        </w:rPr>
        <w:t>Warunki przechowywania:</w:t>
      </w:r>
      <w:r>
        <w:rPr/>
        <w:br/>
        <w:t xml:space="preserve">Przechowywać w zamkniętym opakowaniu, w temperaturze 15 - 25℃, w sposób niedostępny dla małych dzieci. Chronić od światła i wilgoci. </w:t>
        <w:br/>
        <w:br/>
      </w:r>
      <w:r>
        <w:rPr>
          <w:b/>
        </w:rPr>
        <w:t>Dostępne wielkości opakowań:</w:t>
      </w:r>
      <w:r>
        <w:rPr/>
        <w:br/>
        <w:t>10 kapsułek</w:t>
        <w:br/>
        <w:br/>
      </w:r>
      <w:r>
        <w:rPr>
          <w:b/>
        </w:rPr>
        <w:t>Podmiot odpowiedzialny za informację o produkcie:</w:t>
      </w:r>
      <w:r>
        <w:rPr/>
        <w:br/>
        <w:t>Zakłady Farmaceutyczne POLPHARMA S.A.</w:t>
        <w:br/>
        <w:t>ul. Pelplińska 19</w:t>
        <w:br/>
        <w:t xml:space="preserve">83-200 Starogard Gdański 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4198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Arial">
    <w:charset w:val="00" w:characterSet="iso-8859-1"/>
    <w:family w:val="auto"/>
    <w:pitch w:val="default"/>
  </w:font>
  <w:font w:name="Liberation Sans Unicode MS">
    <w:charset w:val="00" w:characterSet="iso-8859-1"/>
    <w:family w:val="auto"/>
    <w:pitch w:val="variable"/>
  </w:font>
  <w:font w:name="Liberation Sans">
    <w:altName w:val="Arial"/>
    <w:charset w:val="00" w:characterSet="iso-8859-1"/>
    <w:family w:val="swiss"/>
    <w:pitch w:val="variable"/>
  </w:font>
</w:fonts>
</file>

<file path=word/settings.xml><?xml version="1.0" encoding="utf-8"?>
<w:settings xmlns:w="http://schemas.openxmlformats.org/wordprocessingml/2006/main">
  <w:view w:val="web"/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Arial" w:hAnsi="Arial" w:eastAsia="Arial" w:cs="Arial"/>
      <w:color w:val="000000"/>
      <w:sz w:val="20"/>
      <w:szCs w:val="20"/>
      <w:lang w:val="pl-PL" w:eastAsia="zh-CN" w:bidi="hi-IN"/>
    </w:rPr>
  </w:style>
  <w:style w:type="paragraph" w:styleId="Heading1">
    <w:name w:val="Heading 1"/>
    <w:basedOn w:val="Heading"/>
    <w:next w:val="TextBody"/>
    <w:qFormat/>
    <w:pPr/>
    <w:rPr>
      <w:rFonts w:ascii="Liberation Sans Unicode MS" w:hAnsi="Liberation Sans Unicode MS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Index">
    <w:name w:val="Index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">
    <w:name w:val="List"/>
    <w:basedOn w:val="TextBody"/>
    <w:pPr/>
    <w:rPr/>
  </w:style>
  <w:style w:type="paragraph" w:styleId="TextBody">
    <w:name w:val="Body Text"/>
    <w:basedOn w:val="Normal"/>
    <w:pPr>
      <w:spacing w:before="0" w:after="283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Liberation Sans" w:hAnsi="Liberation Sans"/>
      <w:sz w:val="28"/>
      <w:szCs w:val="28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LibreOffice/6.3.2.2$Linux_X86_64 LibreOffice_project/98b30e735bda24bc04ab42594c85f7fd8be07b9c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